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683412" w:rsidRPr="00683412">
        <w:trPr>
          <w:trHeight w:val="735"/>
          <w:tblCellSpacing w:w="0" w:type="dxa"/>
        </w:trPr>
        <w:tc>
          <w:tcPr>
            <w:tcW w:w="5000" w:type="pct"/>
            <w:vAlign w:val="center"/>
            <w:hideMark/>
          </w:tcPr>
          <w:p w:rsidR="00683412" w:rsidRPr="00683412" w:rsidRDefault="00683412" w:rsidP="00683412">
            <w:pPr>
              <w:spacing w:after="0" w:line="270" w:lineRule="atLeast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  <w:r w:rsidRPr="00683412">
              <w:rPr>
                <w:rFonts w:ascii="Arial" w:eastAsia="Times New Roman" w:hAnsi="Arial" w:cs="Arial"/>
                <w:b/>
                <w:bCs/>
                <w:color w:val="F26D2C"/>
                <w:sz w:val="34"/>
                <w:szCs w:val="34"/>
              </w:rPr>
              <w:t xml:space="preserve">Reference Flows </w:t>
            </w:r>
          </w:p>
        </w:tc>
      </w:tr>
      <w:tr w:rsidR="00683412" w:rsidRPr="0068341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683412" w:rsidRPr="00683412">
              <w:trPr>
                <w:tblCellSpacing w:w="0" w:type="dxa"/>
                <w:jc w:val="center"/>
              </w:trPr>
              <w:tc>
                <w:tcPr>
                  <w:tcW w:w="4100" w:type="pct"/>
                  <w:vAlign w:val="center"/>
                  <w:hideMark/>
                </w:tcPr>
                <w:p w:rsidR="00683412" w:rsidRPr="00683412" w:rsidRDefault="00C07EB5" w:rsidP="00F852F8">
                  <w:pPr>
                    <w:framePr w:hSpace="45" w:wrap="around" w:vAnchor="text" w:hAnchor="text"/>
                    <w:spacing w:after="0" w:line="375" w:lineRule="atLeast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>SMIC-Synopsys</w:t>
                  </w:r>
                  <w:r w:rsidR="005E315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 xml:space="preserve"> </w:t>
                  </w:r>
                  <w:r w:rsidR="00683412" w:rsidRPr="0068341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>Reference Flow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 xml:space="preserve"> 6.0</w:t>
                  </w:r>
                  <w:r w:rsidR="00683412" w:rsidRPr="0068341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 xml:space="preserve"> </w:t>
                  </w:r>
                  <w:r w:rsidR="00683412"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br/>
                    <w:t>SMIC-Synopsys</w:t>
                  </w:r>
                  <w:r w:rsidR="005E3155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Reference Flow</w:t>
                  </w:r>
                  <w:r w:rsidR="00BD350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6.0 </w:t>
                  </w:r>
                  <w:r w:rsidR="00BD350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delivers</w:t>
                  </w:r>
                  <w:r w:rsidR="00683412"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chip-level flat </w:t>
                  </w:r>
                  <w:r w:rsidR="00BD350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and hierarchical </w:t>
                  </w:r>
                  <w:r w:rsidR="00683412"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design flow</w:t>
                  </w:r>
                  <w:r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s from RTL to</w:t>
                  </w:r>
                  <w:r w:rsidR="00BD350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GDSII. The Reference Flow uses SMIC’s advanced 28-nanometer High-K Metal Gate (HKMG) process </w:t>
                  </w:r>
                  <w:r w:rsidR="00683412"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with the Synopsys Galaxy </w:t>
                  </w:r>
                  <w:r w:rsidR="00550FD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Design P</w:t>
                  </w:r>
                  <w:r w:rsidR="00683412"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latform, and all the scripts are compatible with the Synopsys Lynx Design System. Anchored by Synopsys' Design Compiler, IC Compiler</w:t>
                  </w:r>
                  <w:r w:rsidR="00BD350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/IC Compiler II</w:t>
                  </w:r>
                  <w:r w:rsidR="00683412"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, PrimeTim</w:t>
                  </w:r>
                  <w:r w:rsidR="00BD350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e Suite, StarRC, </w:t>
                  </w:r>
                  <w:r w:rsidR="0087571B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IC Validator,  </w:t>
                  </w:r>
                  <w:r w:rsidR="00CD75D9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DFTMAX</w:t>
                  </w:r>
                  <w:r w:rsidR="0087571B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, TetraMAX,</w:t>
                  </w:r>
                  <w:r w:rsidR="00BD350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</w:t>
                  </w:r>
                  <w:r w:rsidR="0087571B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VCS</w:t>
                  </w:r>
                  <w:r w:rsidR="002F7D0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, </w:t>
                  </w:r>
                  <w:r w:rsidR="0087571B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Formality and PrimeRail, </w:t>
                  </w:r>
                  <w:r w:rsidR="002F7D0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t</w:t>
                  </w:r>
                  <w:r w:rsidR="00683412"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he Galaxy Design Platform reduces design cycle, decreases</w:t>
                  </w:r>
                  <w:r w:rsidR="00550FD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flow</w:t>
                  </w:r>
                  <w:r w:rsidR="00683412"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integration costs and helps minimize risks inherent in advanced, complex IC design. </w:t>
                  </w:r>
                </w:p>
                <w:p w:rsidR="00683412" w:rsidRPr="00683412" w:rsidRDefault="00683412" w:rsidP="00B64D30">
                  <w:pPr>
                    <w:framePr w:hSpace="45" w:wrap="around" w:vAnchor="text" w:hAnchor="text"/>
                    <w:spacing w:before="100" w:beforeAutospacing="1" w:after="100" w:afterAutospacing="1" w:line="375" w:lineRule="atLeast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</w:pP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This proven reference flow was</w:t>
                  </w:r>
                  <w:r w:rsidR="00550FD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validated using the </w:t>
                  </w:r>
                  <w:r w:rsidR="00BD350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SMIC 28</w:t>
                  </w: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nm </w:t>
                  </w:r>
                  <w:r w:rsidR="00357FB5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multi-VT and multi-channel standard cell libraries</w:t>
                  </w: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, Power Management Kit, </w:t>
                  </w:r>
                  <w:r w:rsidR="00550FD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Memory Macros, </w:t>
                  </w: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SMIC in-house PLL and IO to illustrate a </w:t>
                  </w:r>
                  <w:r w:rsidR="00405C9A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multi-voltage</w:t>
                  </w: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design. In addition, the reference flow leverages </w:t>
                  </w:r>
                  <w:r w:rsidR="008D7E54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IEEE-1801 </w:t>
                  </w: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Unified Power Format (UPF</w:t>
                  </w:r>
                  <w:r w:rsidR="00BC7D7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) to</w:t>
                  </w: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</w:t>
                  </w:r>
                  <w:r w:rsidR="00BC7D7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drive</w:t>
                  </w: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low power design </w:t>
                  </w:r>
                  <w:r w:rsidR="00BC7D7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physical implementation</w:t>
                  </w: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to improve the way complex System-on-Chip (SoC) designs are implemented and verified.</w:t>
                  </w:r>
                </w:p>
                <w:p w:rsidR="00683412" w:rsidRPr="00683412" w:rsidRDefault="00683412" w:rsidP="00683412">
                  <w:pPr>
                    <w:framePr w:hSpace="45" w:wrap="around" w:vAnchor="text" w:hAnchor="text"/>
                    <w:spacing w:before="100" w:beforeAutospacing="1" w:after="100" w:afterAutospacing="1" w:line="375" w:lineRule="atLeast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</w:pP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SMIC and Synopsys’ collaboration </w:t>
                  </w:r>
                  <w:r w:rsidR="00550FD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enables</w:t>
                  </w: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IC designers to accelerate their designs into manufacturing, with a flexible, lower-risk </w:t>
                  </w:r>
                  <w:r w:rsidR="008D7E54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design system </w:t>
                  </w: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and fast</w:t>
                  </w:r>
                  <w:r w:rsidR="00BD350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er time-to-market with SMIC’s 28</w:t>
                  </w: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nm process technology.</w:t>
                  </w:r>
                </w:p>
                <w:p w:rsidR="00683412" w:rsidRDefault="00550FD1" w:rsidP="00683412">
                  <w:pPr>
                    <w:framePr w:hSpace="45" w:wrap="around" w:vAnchor="text" w:hAnchor="text"/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>SMIC-Synopsys</w:t>
                  </w:r>
                  <w:r w:rsidR="00BD3506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 xml:space="preserve"> </w:t>
                  </w:r>
                  <w:r w:rsidR="00683412" w:rsidRPr="0068341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>Ref</w:t>
                  </w:r>
                  <w:r w:rsidR="00BD3506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>erence Flow</w:t>
                  </w:r>
                  <w:r w:rsidR="00683412" w:rsidRPr="0068341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 xml:space="preserve">6.0 </w:t>
                  </w:r>
                  <w:r w:rsidR="00B02096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>Benefit</w:t>
                  </w:r>
                  <w:r w:rsidR="00683412" w:rsidRPr="0068341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 xml:space="preserve">s: </w:t>
                  </w:r>
                </w:p>
                <w:p w:rsidR="00550FD1" w:rsidRPr="00467D16" w:rsidRDefault="00550FD1" w:rsidP="00550FD1">
                  <w:pPr>
                    <w:pStyle w:val="ListParagraph"/>
                    <w:framePr w:hSpace="45" w:wrap="around" w:vAnchor="text" w:hAnchor="text"/>
                    <w:numPr>
                      <w:ilvl w:val="0"/>
                      <w:numId w:val="4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</w:pPr>
                  <w:r w:rsidRPr="00467D16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 xml:space="preserve">SMIC 28nm </w:t>
                  </w:r>
                  <w:r w:rsidR="00B02096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>technology</w:t>
                  </w:r>
                  <w:r w:rsidRPr="00467D16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 xml:space="preserve"> RTL2GDSII </w:t>
                  </w:r>
                  <w:r w:rsidR="00B02096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 xml:space="preserve">physical </w:t>
                  </w:r>
                  <w:r w:rsidRPr="00467D16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>design flow</w:t>
                  </w:r>
                </w:p>
                <w:p w:rsidR="00550FD1" w:rsidRPr="00467D16" w:rsidRDefault="00550FD1" w:rsidP="00550FD1">
                  <w:pPr>
                    <w:pStyle w:val="ListParagraph"/>
                    <w:framePr w:hSpace="45" w:wrap="around" w:vAnchor="text" w:hAnchor="text"/>
                    <w:numPr>
                      <w:ilvl w:val="0"/>
                      <w:numId w:val="4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</w:pPr>
                  <w:r w:rsidRPr="00467D16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>Advanced SMIC 28nm design rule support</w:t>
                  </w:r>
                </w:p>
                <w:p w:rsidR="00550FD1" w:rsidRDefault="00CD75D9" w:rsidP="00550FD1">
                  <w:pPr>
                    <w:pStyle w:val="ListParagraph"/>
                    <w:framePr w:hSpace="45" w:wrap="around" w:vAnchor="text" w:hAnchor="text"/>
                    <w:numPr>
                      <w:ilvl w:val="0"/>
                      <w:numId w:val="4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>Full chip</w:t>
                  </w:r>
                  <w:r w:rsidR="00467D16" w:rsidRPr="00467D16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 xml:space="preserve"> UPF low power design</w:t>
                  </w:r>
                </w:p>
                <w:p w:rsidR="00CD75D9" w:rsidRPr="00467D16" w:rsidRDefault="00CD75D9" w:rsidP="00550FD1">
                  <w:pPr>
                    <w:pStyle w:val="ListParagraph"/>
                    <w:framePr w:hSpace="45" w:wrap="around" w:vAnchor="text" w:hAnchor="text"/>
                    <w:numPr>
                      <w:ilvl w:val="0"/>
                      <w:numId w:val="4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>UPF low power verification</w:t>
                  </w:r>
                </w:p>
                <w:p w:rsidR="00467D16" w:rsidRPr="00467D16" w:rsidRDefault="00467D16" w:rsidP="00550FD1">
                  <w:pPr>
                    <w:pStyle w:val="ListParagraph"/>
                    <w:framePr w:hSpace="45" w:wrap="around" w:vAnchor="text" w:hAnchor="text"/>
                    <w:numPr>
                      <w:ilvl w:val="0"/>
                      <w:numId w:val="4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</w:pPr>
                  <w:r w:rsidRPr="00467D16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 xml:space="preserve">Multi-VT </w:t>
                  </w:r>
                  <w:r w:rsidR="00B02096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 xml:space="preserve">&amp; multi-channel </w:t>
                  </w:r>
                  <w:r w:rsidRPr="00467D16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>libraries for leakage reduction optimization</w:t>
                  </w:r>
                </w:p>
                <w:p w:rsidR="00467D16" w:rsidRPr="00467D16" w:rsidRDefault="00467D16" w:rsidP="00467D1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</w:pPr>
                  <w:r w:rsidRPr="00467D16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>IC Validator based In-Design physical verification</w:t>
                  </w:r>
                  <w:r w:rsidR="00816620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 xml:space="preserve"> &amp; chip finishing</w:t>
                  </w:r>
                </w:p>
                <w:p w:rsidR="00467D16" w:rsidRPr="00467D16" w:rsidRDefault="00B02096" w:rsidP="00467D1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 xml:space="preserve">Efficient </w:t>
                  </w:r>
                  <w:r w:rsidR="00467D16" w:rsidRPr="00467D16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>Automatic DRC Repair (ADR)</w:t>
                  </w:r>
                </w:p>
                <w:p w:rsidR="00467D16" w:rsidRDefault="00467D16" w:rsidP="00550FD1">
                  <w:pPr>
                    <w:pStyle w:val="ListParagraph"/>
                    <w:framePr w:hSpace="45" w:wrap="around" w:vAnchor="text" w:hAnchor="text"/>
                    <w:numPr>
                      <w:ilvl w:val="0"/>
                      <w:numId w:val="4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</w:pPr>
                  <w:r w:rsidRPr="00467D16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>DFM VIA insertion and Dummy Fill</w:t>
                  </w:r>
                </w:p>
                <w:p w:rsidR="004C0F0E" w:rsidRDefault="004C0F0E" w:rsidP="00550FD1">
                  <w:pPr>
                    <w:pStyle w:val="ListParagraph"/>
                    <w:framePr w:hSpace="45" w:wrap="around" w:vAnchor="text" w:hAnchor="text"/>
                    <w:numPr>
                      <w:ilvl w:val="0"/>
                      <w:numId w:val="4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>Advanced timing and SI signoff</w:t>
                  </w:r>
                </w:p>
                <w:p w:rsidR="00CD75D9" w:rsidRPr="00467D16" w:rsidRDefault="00A42E03" w:rsidP="00550FD1">
                  <w:pPr>
                    <w:pStyle w:val="ListParagraph"/>
                    <w:framePr w:hSpace="45" w:wrap="around" w:vAnchor="text" w:hAnchor="text"/>
                    <w:numPr>
                      <w:ilvl w:val="0"/>
                      <w:numId w:val="4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>Test synthesis and power-aware ATPG</w:t>
                  </w:r>
                </w:p>
                <w:p w:rsidR="00467D16" w:rsidRPr="00467D16" w:rsidRDefault="00467D16" w:rsidP="00550FD1">
                  <w:pPr>
                    <w:pStyle w:val="ListParagraph"/>
                    <w:framePr w:hSpace="45" w:wrap="around" w:vAnchor="text" w:hAnchor="text"/>
                    <w:numPr>
                      <w:ilvl w:val="0"/>
                      <w:numId w:val="4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</w:pPr>
                  <w:r w:rsidRPr="00467D16">
                    <w:rPr>
                      <w:rFonts w:ascii="Arial" w:eastAsia="Times New Roman" w:hAnsi="Arial" w:cs="Arial"/>
                      <w:bCs/>
                      <w:color w:val="555555"/>
                      <w:sz w:val="18"/>
                      <w:szCs w:val="18"/>
                    </w:rPr>
                    <w:t>All scripts are compatible with the Synopsys Lynx Design System</w:t>
                  </w:r>
                </w:p>
                <w:p w:rsidR="00550FD1" w:rsidRDefault="00550FD1" w:rsidP="00683412">
                  <w:pPr>
                    <w:framePr w:hSpace="45" w:wrap="around" w:vAnchor="text" w:hAnchor="text"/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</w:pPr>
                </w:p>
                <w:tbl>
                  <w:tblPr>
                    <w:tblW w:w="470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85"/>
                  </w:tblGrid>
                  <w:tr w:rsidR="00467D16" w:rsidRPr="00683412" w:rsidTr="00467D1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67D16" w:rsidRPr="00550FD1" w:rsidRDefault="00467D16" w:rsidP="00550FD1">
                        <w:pPr>
                          <w:framePr w:hSpace="45" w:wrap="around" w:vAnchor="text" w:hAnchor="text"/>
                          <w:spacing w:after="0" w:line="375" w:lineRule="atLeast"/>
                          <w:ind w:left="360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05156" w:rsidRDefault="00605156" w:rsidP="00467D16">
                  <w:pPr>
                    <w:framePr w:hSpace="45" w:wrap="around" w:vAnchor="text" w:hAnchor="text"/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</w:pPr>
                </w:p>
                <w:p w:rsidR="00605156" w:rsidRDefault="00605156" w:rsidP="00683412">
                  <w:pPr>
                    <w:framePr w:hSpace="45" w:wrap="around" w:vAnchor="text" w:hAnchor="text"/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</w:pPr>
                </w:p>
                <w:p w:rsidR="00605156" w:rsidRDefault="00605156" w:rsidP="00683412">
                  <w:pPr>
                    <w:framePr w:hSpace="45" w:wrap="around" w:vAnchor="text" w:hAnchor="text"/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</w:pPr>
                </w:p>
                <w:p w:rsidR="00605156" w:rsidRPr="00DE39C8" w:rsidRDefault="00605156" w:rsidP="00683412">
                  <w:pPr>
                    <w:framePr w:hSpace="45" w:wrap="around" w:vAnchor="text" w:hAnchor="text"/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</w:pPr>
                </w:p>
                <w:p w:rsidR="00683412" w:rsidRPr="00683412" w:rsidRDefault="00467D16" w:rsidP="00683412">
                  <w:pPr>
                    <w:framePr w:hSpace="45" w:wrap="around" w:vAnchor="text" w:hAnchor="text"/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>SMIC-Synopsys</w:t>
                  </w:r>
                  <w:r w:rsidR="00BD3506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 xml:space="preserve"> Reference Flow </w:t>
                  </w:r>
                  <w:r w:rsidR="00EE000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>6.0</w:t>
                  </w:r>
                  <w:r w:rsidR="00683412"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</w:t>
                  </w:r>
                </w:p>
                <w:p w:rsidR="00605156" w:rsidRPr="00B64D30" w:rsidRDefault="00683412" w:rsidP="00B64D30">
                  <w:pPr>
                    <w:framePr w:hSpace="45" w:wrap="around" w:vAnchor="text" w:hAnchor="text"/>
                    <w:spacing w:before="100" w:beforeAutospacing="1" w:after="100" w:afterAutospacing="1" w:line="375" w:lineRule="atLeast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555555"/>
                      <w:sz w:val="18"/>
                      <w:szCs w:val="18"/>
                    </w:rPr>
                    <w:drawing>
                      <wp:inline distT="0" distB="0" distL="0" distR="0" wp14:anchorId="51875479" wp14:editId="4FC09394">
                        <wp:extent cx="6404467" cy="3350175"/>
                        <wp:effectExtent l="0" t="0" r="0" b="317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smics.com/img/smic-synopsys5.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4467" cy="335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5156" w:rsidRDefault="00605156" w:rsidP="00683412">
                  <w:pPr>
                    <w:framePr w:hSpace="45" w:wrap="around" w:vAnchor="text" w:hAnchor="text"/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</w:pPr>
                </w:p>
                <w:p w:rsidR="00683412" w:rsidRDefault="00683412" w:rsidP="00683412">
                  <w:pPr>
                    <w:framePr w:hSpace="45" w:wrap="around" w:vAnchor="text" w:hAnchor="text"/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</w:pPr>
                  <w:r w:rsidRPr="0068341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>The SMIC-Synopsys Reference Flow</w:t>
                  </w:r>
                  <w:r w:rsidR="00B64D3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 xml:space="preserve"> 6.0</w:t>
                  </w:r>
                  <w:r w:rsidRPr="0068341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  <w:szCs w:val="18"/>
                    </w:rPr>
                    <w:t xml:space="preserve"> package includes: </w:t>
                  </w:r>
                </w:p>
                <w:p w:rsidR="00B64D30" w:rsidRDefault="00B64D30" w:rsidP="00B64D30">
                  <w:pPr>
                    <w:pStyle w:val="ListParagraph"/>
                    <w:framePr w:hSpace="45" w:wrap="around" w:vAnchor="text" w:hAnchor="text"/>
                    <w:numPr>
                      <w:ilvl w:val="0"/>
                      <w:numId w:val="5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Design flow scripts</w:t>
                  </w:r>
                </w:p>
                <w:p w:rsidR="00B64D30" w:rsidRDefault="00B64D30" w:rsidP="00B64D30">
                  <w:pPr>
                    <w:pStyle w:val="ListParagraph"/>
                    <w:framePr w:hSpace="45" w:wrap="around" w:vAnchor="text" w:hAnchor="text"/>
                    <w:numPr>
                      <w:ilvl w:val="0"/>
                      <w:numId w:val="5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Technology and library preparation scripts</w:t>
                  </w:r>
                </w:p>
                <w:p w:rsidR="00B64D30" w:rsidRDefault="00B02096" w:rsidP="00B64D30">
                  <w:pPr>
                    <w:pStyle w:val="ListParagraph"/>
                    <w:framePr w:hSpace="45" w:wrap="around" w:vAnchor="text" w:hAnchor="text"/>
                    <w:numPr>
                      <w:ilvl w:val="0"/>
                      <w:numId w:val="5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Comprehensive block level and </w:t>
                  </w:r>
                  <w:r w:rsidR="00B64D30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chip level design</w:t>
                  </w:r>
                  <w:r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s for flat implementation and hierarchical implementation.</w:t>
                  </w:r>
                </w:p>
                <w:p w:rsidR="0037121D" w:rsidRPr="00B64D30" w:rsidRDefault="0037121D" w:rsidP="00B64D30">
                  <w:pPr>
                    <w:pStyle w:val="ListParagraph"/>
                    <w:framePr w:hSpace="45" w:wrap="around" w:vAnchor="text" w:hAnchor="text"/>
                    <w:numPr>
                      <w:ilvl w:val="0"/>
                      <w:numId w:val="5"/>
                    </w:numPr>
                    <w:spacing w:after="0" w:line="375" w:lineRule="atLeast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Flow setup and </w:t>
                  </w:r>
                  <w:r w:rsidR="00F13CD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flow </w:t>
                  </w:r>
                  <w:r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execution manual</w:t>
                  </w:r>
                </w:p>
                <w:p w:rsidR="00683412" w:rsidRPr="00683412" w:rsidRDefault="00CD75D9" w:rsidP="00683412">
                  <w:pPr>
                    <w:framePr w:hSpace="45" w:wrap="around" w:vAnchor="text" w:hAnchor="text"/>
                    <w:spacing w:before="100" w:beforeAutospacing="1" w:after="100" w:afterAutospacing="1" w:line="375" w:lineRule="atLeast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For additional support</w:t>
                  </w:r>
                  <w:r w:rsidR="00683412"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, we have trained experts ready to support and offer you professional advice to bring your design to high-quality sign-off GDSII.</w:t>
                  </w:r>
                </w:p>
                <w:p w:rsidR="00683412" w:rsidRPr="00683412" w:rsidRDefault="00683412" w:rsidP="00683412">
                  <w:pPr>
                    <w:framePr w:hSpace="45" w:wrap="around" w:vAnchor="text" w:hAnchor="text"/>
                    <w:spacing w:before="100" w:beforeAutospacing="1" w:after="100" w:afterAutospacing="1" w:line="375" w:lineRule="atLeast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</w:pP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If you would like to know more about the SMIC-Synopsys </w:t>
                  </w:r>
                  <w:r w:rsidR="00BD3506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28nm Reference Flow</w:t>
                  </w:r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, please contact your SMIC account manager, login to </w:t>
                  </w:r>
                  <w:hyperlink r:id="rId8" w:tgtFrame="_blank" w:history="1">
                    <w:r w:rsidRPr="00683412">
                      <w:rPr>
                        <w:rFonts w:ascii="Arial" w:eastAsia="Times New Roman" w:hAnsi="Arial" w:cs="Arial"/>
                        <w:color w:val="00779F"/>
                        <w:sz w:val="18"/>
                        <w:szCs w:val="18"/>
                        <w:u w:val="single"/>
                      </w:rPr>
                      <w:t>SMIC Now</w:t>
                    </w:r>
                  </w:hyperlink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 xml:space="preserve"> or </w:t>
                  </w:r>
                  <w:hyperlink r:id="rId9" w:history="1">
                    <w:r w:rsidRPr="00683412">
                      <w:rPr>
                        <w:rFonts w:ascii="Arial" w:eastAsia="Times New Roman" w:hAnsi="Arial" w:cs="Arial"/>
                        <w:color w:val="00779F"/>
                        <w:sz w:val="18"/>
                        <w:szCs w:val="18"/>
                        <w:u w:val="single"/>
                      </w:rPr>
                      <w:t>send us a message</w:t>
                    </w:r>
                  </w:hyperlink>
                  <w:r w:rsidRPr="00683412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683412" w:rsidRPr="00683412" w:rsidRDefault="00683412" w:rsidP="00683412">
            <w:pPr>
              <w:spacing w:after="0" w:line="270" w:lineRule="atLeast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</w:p>
        </w:tc>
      </w:tr>
    </w:tbl>
    <w:p w:rsidR="00707260" w:rsidRDefault="00707260"/>
    <w:sectPr w:rsidR="00707260" w:rsidSect="0046012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75" w:rsidRDefault="00050075" w:rsidP="00DE39C8">
      <w:pPr>
        <w:spacing w:after="0" w:line="240" w:lineRule="auto"/>
      </w:pPr>
      <w:r>
        <w:separator/>
      </w:r>
    </w:p>
  </w:endnote>
  <w:endnote w:type="continuationSeparator" w:id="0">
    <w:p w:rsidR="00050075" w:rsidRDefault="00050075" w:rsidP="00DE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75" w:rsidRDefault="00050075" w:rsidP="00DE39C8">
      <w:pPr>
        <w:spacing w:after="0" w:line="240" w:lineRule="auto"/>
      </w:pPr>
      <w:r>
        <w:separator/>
      </w:r>
    </w:p>
  </w:footnote>
  <w:footnote w:type="continuationSeparator" w:id="0">
    <w:p w:rsidR="00050075" w:rsidRDefault="00050075" w:rsidP="00DE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560"/>
    <w:multiLevelType w:val="hybridMultilevel"/>
    <w:tmpl w:val="7E04C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56288"/>
    <w:multiLevelType w:val="hybridMultilevel"/>
    <w:tmpl w:val="7FAC8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32D60"/>
    <w:multiLevelType w:val="hybridMultilevel"/>
    <w:tmpl w:val="09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A1CFD"/>
    <w:multiLevelType w:val="hybridMultilevel"/>
    <w:tmpl w:val="9B7C7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4347FB"/>
    <w:multiLevelType w:val="hybridMultilevel"/>
    <w:tmpl w:val="41F83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12"/>
    <w:rsid w:val="00050075"/>
    <w:rsid w:val="002F7D06"/>
    <w:rsid w:val="00357FB5"/>
    <w:rsid w:val="0037121D"/>
    <w:rsid w:val="00405C9A"/>
    <w:rsid w:val="0046012C"/>
    <w:rsid w:val="00467D16"/>
    <w:rsid w:val="004C0F0E"/>
    <w:rsid w:val="004E6BF8"/>
    <w:rsid w:val="00550FD1"/>
    <w:rsid w:val="005B316B"/>
    <w:rsid w:val="005E3155"/>
    <w:rsid w:val="00605156"/>
    <w:rsid w:val="00683412"/>
    <w:rsid w:val="00707260"/>
    <w:rsid w:val="007854F8"/>
    <w:rsid w:val="00816620"/>
    <w:rsid w:val="00831D9F"/>
    <w:rsid w:val="0087571B"/>
    <w:rsid w:val="008D7E54"/>
    <w:rsid w:val="00910582"/>
    <w:rsid w:val="00A42E03"/>
    <w:rsid w:val="00B02096"/>
    <w:rsid w:val="00B64D30"/>
    <w:rsid w:val="00BC1F1A"/>
    <w:rsid w:val="00BC7D76"/>
    <w:rsid w:val="00BD3506"/>
    <w:rsid w:val="00C07EB5"/>
    <w:rsid w:val="00CD75D9"/>
    <w:rsid w:val="00D74718"/>
    <w:rsid w:val="00DE39C8"/>
    <w:rsid w:val="00EE0008"/>
    <w:rsid w:val="00F13CD6"/>
    <w:rsid w:val="00F41763"/>
    <w:rsid w:val="00F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CEB36F-96B3-45CD-B534-0AFA3E35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3412"/>
    <w:rPr>
      <w:color w:val="0000FF"/>
      <w:u w:val="single"/>
    </w:rPr>
  </w:style>
  <w:style w:type="character" w:customStyle="1" w:styleId="hdzy1">
    <w:name w:val="hd_zy1"/>
    <w:basedOn w:val="DefaultParagraphFont"/>
    <w:rsid w:val="00683412"/>
    <w:rPr>
      <w:rFonts w:ascii="Arial" w:hAnsi="Arial" w:cs="Arial" w:hint="default"/>
      <w:b/>
      <w:bCs/>
      <w:color w:val="F26D2C"/>
      <w:sz w:val="34"/>
      <w:szCs w:val="34"/>
    </w:rPr>
  </w:style>
  <w:style w:type="character" w:styleId="Strong">
    <w:name w:val="Strong"/>
    <w:basedOn w:val="DefaultParagraphFont"/>
    <w:uiPriority w:val="22"/>
    <w:qFormat/>
    <w:rsid w:val="00683412"/>
    <w:rPr>
      <w:b/>
      <w:bCs/>
    </w:rPr>
  </w:style>
  <w:style w:type="paragraph" w:styleId="NormalWeb">
    <w:name w:val="Normal (Web)"/>
    <w:basedOn w:val="Normal"/>
    <w:uiPriority w:val="99"/>
    <w:unhideWhenUsed/>
    <w:rsid w:val="0068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D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E39C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E39C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39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smics.com/globallogin/index.ac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mics.com/eng/contact_u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Synopsys Inc.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synopsys</dc:creator>
  <cp:lastModifiedBy>Fish Tam</cp:lastModifiedBy>
  <cp:revision>1</cp:revision>
  <dcterms:created xsi:type="dcterms:W3CDTF">2017-04-28T07:06:00Z</dcterms:created>
  <dcterms:modified xsi:type="dcterms:W3CDTF">2017-04-28T07:06:00Z</dcterms:modified>
</cp:coreProperties>
</file>